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8D" w:rsidRDefault="00BA628D" w:rsidP="00BA628D">
      <w:pPr>
        <w:pStyle w:val="msobodytext4"/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b/>
          <w:bCs/>
          <w:sz w:val="21"/>
          <w:szCs w:val="21"/>
          <w14:ligatures w14:val="none"/>
        </w:rPr>
        <w:t xml:space="preserve">Процессуально-правовые гарантии </w:t>
      </w:r>
      <w:r>
        <w:rPr>
          <w:rFonts w:ascii="Times New Roman" w:hAnsi="Times New Roman" w:cs="Times New Roman"/>
          <w:sz w:val="21"/>
          <w:szCs w:val="21"/>
          <w14:ligatures w14:val="none"/>
        </w:rPr>
        <w:t>- это содержащиеся в нормах права правовые средства, обеспечивающие всем субъектам уголовно-процессуальной деятельности возможность выполнять обязанности и использовать предоставленные права.</w:t>
      </w:r>
    </w:p>
    <w:p w:rsidR="00BA628D" w:rsidRDefault="00BA628D" w:rsidP="00BA628D">
      <w:pPr>
        <w:pStyle w:val="msobodytext4"/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Основу гарантий прав личности в сфере уголовного процесса составляют закрепленные и обеспечиваемые Конституцией РФ права и свободы граждан (гл. 2 Конституции РФ) и принципы правосудия.</w:t>
      </w:r>
    </w:p>
    <w:p w:rsidR="00BA628D" w:rsidRDefault="00BA628D" w:rsidP="00BA628D">
      <w:pPr>
        <w:pStyle w:val="msobodytext4"/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Эти основополагающие нормы, устанавливающие гарантии прав личности конкретизируются в уголовно-процессуальном законе применительно к стадиям процесса и правам, предоставленным участникам и иным субъектам уголовного процесса.</w:t>
      </w:r>
    </w:p>
    <w:p w:rsidR="00BA628D" w:rsidRDefault="00BA628D" w:rsidP="00BA628D">
      <w:pPr>
        <w:pStyle w:val="msobodytext4"/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Подозреваемый, обвиняемый (подсудимый, осужденный) могут защищать свои права как лично, так и с помощью защитника, законных представителей, общественных защитников. Законом гарантированы права потерпевшего, гражданского истца, гражданского ответчика и иных субъектов процесса (свидетелей, экспертов, специалистов, понятых, переводчиков и др.).</w:t>
      </w:r>
    </w:p>
    <w:p w:rsidR="00BA628D" w:rsidRDefault="00BA628D" w:rsidP="00BA628D">
      <w:pPr>
        <w:pStyle w:val="msobodytext4"/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Важнейшими гарантиями защиты прав и законных интересов личности в уголовном процессе являются: право подозреваемого, обвиняемого иметь защитника; судебный контроль за задержанием лица или избрание в качестве меры пресечения содержание под стражей; равенство прав участников судебного разбирательств; предоставление только суду права признать обвиняемого виновным; возможность обжалования действий и решений должностных лиц и государственных органов в суд.</w:t>
      </w:r>
    </w:p>
    <w:p w:rsidR="00BA628D" w:rsidRDefault="00BA628D" w:rsidP="00BA628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lastRenderedPageBreak/>
        <w:t>На органах дознания, следователе, прокуроре и суде лежит обязанность принять меры к возмещению ущерба, причиненного гражданину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стражу.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Обязанность государственных органов, ведущих процесс, обеспечивать участникам процесса (обвиняемому, потерпевшему и др.) возможность реализовать свои права обусловлена тем, что фактическое использование прав участников процесса -- одно из важнейших условий объективного, непредвзятого исследования дела, установления истины, защиты законных интересов личности в процессе. В этом смысле процессуальные права личности выступают в качестве особого вида процессуальных гарантий правосудия. Поэтому органы и лица, ведущие судопроизводство, обязаны соблюдать процессуальные права граждан.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Они должны быть заинтересованы в том, чтобы участники процесса знали свои права и использовали их, </w:t>
      </w:r>
      <w:proofErr w:type="gramStart"/>
      <w:r>
        <w:rPr>
          <w:rFonts w:ascii="Times New Roman" w:hAnsi="Times New Roman" w:cs="Times New Roman"/>
          <w:sz w:val="21"/>
          <w:szCs w:val="21"/>
          <w14:ligatures w14:val="none"/>
        </w:rPr>
        <w:t>так</w:t>
      </w:r>
      <w:proofErr w:type="gramEnd"/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как только при этом условии может быть достигнуто объективное, всестороннее и полное исследование дела, исключен обвинительный уклон, вынесено законное и обоснованное судебное решение.</w:t>
      </w:r>
    </w:p>
    <w:p w:rsidR="00BA628D" w:rsidRDefault="00BA628D" w:rsidP="00BA628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  <w:r>
        <w:rPr>
          <w14:ligatures w14:val="none"/>
        </w:rPr>
        <w:t>Прокуратура Оренбургской Области</w:t>
      </w: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"/>
        <w:widowControl w:val="0"/>
        <w:rPr>
          <w:sz w:val="15"/>
          <w:szCs w:val="15"/>
          <w14:ligatures w14:val="none"/>
        </w:rPr>
      </w:pPr>
      <w:r>
        <w:rPr>
          <w:sz w:val="15"/>
          <w:szCs w:val="15"/>
          <w14:ligatures w14:val="none"/>
        </w:rPr>
        <w:lastRenderedPageBreak/>
        <w:t>Прокуратура Оренбургской Области</w:t>
      </w:r>
    </w:p>
    <w:p w:rsidR="00BA628D" w:rsidRDefault="00BA628D" w:rsidP="00BA628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66C8ABE3" wp14:editId="3B771AFA">
            <wp:simplePos x="0" y="0"/>
            <wp:positionH relativeFrom="column">
              <wp:posOffset>1200150</wp:posOffset>
            </wp:positionH>
            <wp:positionV relativeFrom="paragraph">
              <wp:posOffset>12065</wp:posOffset>
            </wp:positionV>
            <wp:extent cx="733425" cy="819150"/>
            <wp:effectExtent l="0" t="0" r="9525" b="0"/>
            <wp:wrapNone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28D" w:rsidRDefault="00BA628D" w:rsidP="00BA628D">
      <w:pPr>
        <w:pStyle w:val="msoorganizationname2"/>
        <w:widowControl w:val="0"/>
        <w:rPr>
          <w14:ligatures w14:val="none"/>
        </w:rPr>
      </w:pPr>
    </w:p>
    <w:p w:rsidR="00BA628D" w:rsidRDefault="00BA628D" w:rsidP="00BA628D">
      <w:pPr>
        <w:pStyle w:val="msotitle3"/>
        <w:widowControl w:val="0"/>
        <w:jc w:val="center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pStyle w:val="msotitle3"/>
        <w:widowControl w:val="0"/>
        <w:jc w:val="center"/>
        <w:rPr>
          <w14:ligatures w14:val="none"/>
        </w:rPr>
      </w:pPr>
    </w:p>
    <w:p w:rsidR="00BA628D" w:rsidRDefault="00BA628D" w:rsidP="00BA628D">
      <w:pPr>
        <w:pStyle w:val="msotitle3"/>
        <w:widowControl w:val="0"/>
        <w:jc w:val="center"/>
        <w:rPr>
          <w14:ligatures w14:val="none"/>
        </w:rPr>
      </w:pPr>
      <w:r>
        <w:rPr>
          <w14:ligatures w14:val="none"/>
        </w:rPr>
        <w:t xml:space="preserve">Основные гарантии и права в сфере уголовного судопроизводства </w:t>
      </w:r>
    </w:p>
    <w:p w:rsidR="00BA628D" w:rsidRDefault="00BA628D" w:rsidP="00BA628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widowControl w:val="0"/>
        <w:rPr>
          <w14:ligatures w14:val="none"/>
        </w:rPr>
      </w:pPr>
    </w:p>
    <w:p w:rsidR="00BA628D" w:rsidRDefault="00BA628D"/>
    <w:p w:rsidR="00BA628D" w:rsidRDefault="00BA628D"/>
    <w:p w:rsidR="00BA628D" w:rsidRDefault="00BA628D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783335A6" wp14:editId="5F9E2AA6">
            <wp:simplePos x="0" y="0"/>
            <wp:positionH relativeFrom="column">
              <wp:posOffset>196850</wp:posOffset>
            </wp:positionH>
            <wp:positionV relativeFrom="paragraph">
              <wp:posOffset>12065</wp:posOffset>
            </wp:positionV>
            <wp:extent cx="2486660" cy="1659255"/>
            <wp:effectExtent l="0" t="0" r="8890" b="0"/>
            <wp:wrapNone/>
            <wp:docPr id="2" name="Рисунок 2" descr="Картинки по запросу памятки об основных правах подозреваем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амятки об основных правах подозреваем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28D" w:rsidRDefault="00BA628D"/>
    <w:p w:rsidR="00BA628D" w:rsidRDefault="00BA628D"/>
    <w:p w:rsidR="00BA628D" w:rsidRDefault="00BA628D"/>
    <w:p w:rsidR="00BA628D" w:rsidRDefault="00BA628D"/>
    <w:p w:rsidR="00BA628D" w:rsidRDefault="00BA628D"/>
    <w:p w:rsidR="00BA628D" w:rsidRDefault="00BA628D"/>
    <w:p w:rsidR="00BA628D" w:rsidRDefault="00BA628D"/>
    <w:p w:rsidR="00BA628D" w:rsidRPr="00BA628D" w:rsidRDefault="00BA628D" w:rsidP="00BA628D">
      <w:pPr>
        <w:widowControl w:val="0"/>
        <w:spacing w:after="60" w:line="312" w:lineRule="auto"/>
        <w:jc w:val="center"/>
        <w:rPr>
          <w:rFonts w:ascii="Times New Roman" w:hAnsi="Times New Roman" w:cs="Times New Roman"/>
          <w:b/>
          <w:bCs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b/>
          <w:bCs/>
          <w:sz w:val="21"/>
          <w:szCs w:val="21"/>
          <w14:ligatures w14:val="none"/>
        </w:rPr>
        <w:t>Права подозреваемого: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lastRenderedPageBreak/>
        <w:t>1) знать, в чем он подозревается, и получить копию постановления о возбуждении против него уголовного дела, либо копию протокола задержания, либо копию постановления о применении к нему меры пресечения;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 xml:space="preserve">2) давать объяснения и показания по поводу имеющегося в отношении его подозрения либо отказаться от дачи объяснений и показаний. 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3) пользоваться помощью защитника с момента и иметь свидание с ним наедине и конфиденциально до первого допроса подозреваемого;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 xml:space="preserve">4)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деятельности. 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5) представлять доказательства;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6) заявлять ходатайства и отводы;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7) давать показания и объяснения на родном языке или языке, которым он владеет;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8) пользоваться помощью переводчика бесплатно;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9) знакомиться с протоколами следственных действий, произведенных с его участием, и подавать на них замечания;</w:t>
      </w:r>
    </w:p>
    <w:p w:rsidR="00BA628D" w:rsidRPr="00BA628D" w:rsidRDefault="00BA628D" w:rsidP="00BA628D">
      <w:pPr>
        <w:widowControl w:val="0"/>
        <w:spacing w:after="60" w:line="312" w:lineRule="auto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:rFonts w:ascii="Times New Roman" w:hAnsi="Times New Roman" w:cs="Times New Roman"/>
          <w:sz w:val="21"/>
          <w:szCs w:val="21"/>
          <w14:ligatures w14:val="none"/>
        </w:rPr>
        <w:t>10) участвовать с разрешения следователя или дознавателя в следственных действиях, производимых по его ходатайству, ходатайству его защитника либо законного представителя;</w:t>
      </w:r>
    </w:p>
    <w:p w:rsidR="00BA628D" w:rsidRDefault="00BA628D" w:rsidP="00BA628D">
      <w:pPr>
        <w:widowControl w:val="0"/>
        <w:rPr>
          <w:rFonts w:ascii="Times New Roman" w:hAnsi="Times New Roman" w:cs="Times New Roman"/>
          <w:sz w:val="21"/>
          <w:szCs w:val="21"/>
          <w14:ligatures w14:val="none"/>
        </w:rPr>
      </w:pPr>
      <w:r w:rsidRPr="00BA628D">
        <w:rPr>
          <w14:ligatures w14:val="none"/>
        </w:rPr>
        <w:t> </w:t>
      </w: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10) приносить жалобы на действия (бездействие) и решения дознавателя, начальника подразделения </w:t>
      </w:r>
      <w:r>
        <w:rPr>
          <w:rFonts w:ascii="Times New Roman" w:hAnsi="Times New Roman" w:cs="Times New Roman"/>
          <w:sz w:val="21"/>
          <w:szCs w:val="21"/>
          <w14:ligatures w14:val="none"/>
        </w:rPr>
        <w:lastRenderedPageBreak/>
        <w:t>дознания, начальника органа дознания, органа дознания, следователя, прокурора и суда;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11) защищаться иными средствами и способами, не запрещенными Уголовно-процессуальным Кодексом РФ.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b/>
          <w:bCs/>
          <w:sz w:val="21"/>
          <w:szCs w:val="21"/>
          <w14:ligatures w14:val="none"/>
        </w:rPr>
      </w:pPr>
      <w:r>
        <w:rPr>
          <w:rFonts w:ascii="Times New Roman" w:hAnsi="Times New Roman" w:cs="Times New Roman"/>
          <w:b/>
          <w:bCs/>
          <w:sz w:val="21"/>
          <w:szCs w:val="21"/>
          <w14:ligatures w14:val="none"/>
        </w:rPr>
        <w:t>Права потерпевшего: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1) знать о предъявленном обвиняемому обвинении;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2) давать показания;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3) отказаться свидетельствовать против самого себя, своего супруга (своей супруги) и других близких родственников,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4) представлять доказательства;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5) заявлять ходатайства и отводы;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6) давать показания на родном языке или языке, которым он владеет;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7) пользоваться помощью переводчика бесплатно;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8) иметь представителя;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9) участвовать с разрешения следователя или дознавателя в следственных действиях, производимых по его ходатайству либо ходатайству его представителя;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10) знакомиться с протоколами следственных действий, произведенных с его участием, и подавать на них замечания;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11) знакомиться с постановлением о назначении судебной экспертизы и заключением эксперта;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12) знакомиться по окончании предварительного расследования, в том числе в случае прекращения уголовного дела, со всеми материалами уголовного </w:t>
      </w:r>
      <w:proofErr w:type="gramStart"/>
      <w:r>
        <w:rPr>
          <w:rFonts w:ascii="Times New Roman" w:hAnsi="Times New Roman" w:cs="Times New Roman"/>
          <w:sz w:val="21"/>
          <w:szCs w:val="21"/>
          <w14:ligatures w14:val="none"/>
        </w:rPr>
        <w:t>дела,  выписывать</w:t>
      </w:r>
      <w:proofErr w:type="gramEnd"/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 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14:ligatures w14:val="none"/>
        </w:rPr>
        <w:lastRenderedPageBreak/>
        <w:t> </w:t>
      </w:r>
      <w:r>
        <w:rPr>
          <w:rFonts w:ascii="Times New Roman" w:hAnsi="Times New Roman" w:cs="Times New Roman"/>
          <w:sz w:val="21"/>
          <w:szCs w:val="21"/>
          <w14:ligatures w14:val="none"/>
        </w:rPr>
        <w:t xml:space="preserve">из уголовного дела любые сведения и в любом объеме, снимать копии с материалов уголовного дела, в том числе с помощью технических </w:t>
      </w:r>
      <w:proofErr w:type="gramStart"/>
      <w:r>
        <w:rPr>
          <w:rFonts w:ascii="Times New Roman" w:hAnsi="Times New Roman" w:cs="Times New Roman"/>
          <w:sz w:val="21"/>
          <w:szCs w:val="21"/>
          <w14:ligatures w14:val="none"/>
        </w:rPr>
        <w:t>средств ;</w:t>
      </w:r>
      <w:proofErr w:type="gramEnd"/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13) участвовать в судебном разбирательстве уголовного дела;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14) выступать в судебных прениях;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15) поддерживать обвинение;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16) знакомиться с протоколом судебного заседания и подавать на него замечания;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17)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18) обжаловать приговор, определение, постановление суда;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19) знать о принесенных по уголовному делу жалобах и представлениях и подавать на них возражения;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20) ходатайствовать о применении мер безопасности в соответствии с частью третьей статьи 11 настоящего Кодекса;</w:t>
      </w:r>
    </w:p>
    <w:p w:rsidR="00BA628D" w:rsidRDefault="00BA628D" w:rsidP="00BA628D">
      <w:pPr>
        <w:widowControl w:val="0"/>
        <w:jc w:val="both"/>
        <w:rPr>
          <w:rFonts w:ascii="Times New Roman" w:hAnsi="Times New Roman" w:cs="Times New Roman"/>
          <w:sz w:val="21"/>
          <w:szCs w:val="21"/>
          <w14:ligatures w14:val="none"/>
        </w:rPr>
      </w:pPr>
      <w:r>
        <w:rPr>
          <w:rFonts w:ascii="Times New Roman" w:hAnsi="Times New Roman" w:cs="Times New Roman"/>
          <w:sz w:val="21"/>
          <w:szCs w:val="21"/>
          <w14:ligatures w14:val="none"/>
        </w:rPr>
        <w:t>21) осуществлять иные полномочия, предусмотренные настоящим Уголовно-процессуальным Кодексом РФ.</w:t>
      </w:r>
    </w:p>
    <w:p w:rsidR="00BA628D" w:rsidRDefault="00BA628D" w:rsidP="00BA628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BA628D" w:rsidRDefault="00BA628D" w:rsidP="00BA628D">
      <w:pPr>
        <w:widowControl w:val="0"/>
        <w:rPr>
          <w14:ligatures w14:val="none"/>
        </w:rPr>
      </w:pPr>
      <w:bookmarkStart w:id="0" w:name="_GoBack"/>
      <w:bookmarkEnd w:id="0"/>
    </w:p>
    <w:p w:rsidR="00EC26CB" w:rsidRDefault="00EC26CB"/>
    <w:sectPr w:rsidR="00EC26CB" w:rsidSect="00BA628D">
      <w:pgSz w:w="16838" w:h="11906" w:orient="landscape"/>
      <w:pgMar w:top="720" w:right="720" w:bottom="568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EF"/>
    <w:rsid w:val="000835EF"/>
    <w:rsid w:val="00BA628D"/>
    <w:rsid w:val="00EC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B89A"/>
  <w15:chartTrackingRefBased/>
  <w15:docId w15:val="{39455A29-D5EC-4EA4-AECF-0869599C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8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4">
    <w:name w:val="msobodytext4"/>
    <w:rsid w:val="00BA628D"/>
    <w:pPr>
      <w:spacing w:after="120" w:line="268" w:lineRule="auto"/>
    </w:pPr>
    <w:rPr>
      <w:rFonts w:ascii="Arial" w:eastAsia="Times New Roman" w:hAnsi="Arial" w:cs="Arial"/>
      <w:color w:val="000000"/>
      <w:kern w:val="28"/>
      <w:sz w:val="20"/>
      <w:szCs w:val="20"/>
      <w:lang w:eastAsia="ru-RU"/>
      <w14:ligatures w14:val="standard"/>
      <w14:cntxtAlts/>
    </w:rPr>
  </w:style>
  <w:style w:type="paragraph" w:customStyle="1" w:styleId="msoorganizationname2">
    <w:name w:val="msoorganizationname2"/>
    <w:rsid w:val="00BA628D"/>
    <w:pPr>
      <w:spacing w:after="0" w:line="307" w:lineRule="auto"/>
    </w:pPr>
    <w:rPr>
      <w:rFonts w:ascii="Arial" w:eastAsia="Times New Roman" w:hAnsi="Arial" w:cs="Arial"/>
      <w:b/>
      <w:bCs/>
      <w:caps/>
      <w:color w:val="330066"/>
      <w:kern w:val="28"/>
      <w:sz w:val="18"/>
      <w:szCs w:val="18"/>
      <w:lang w:eastAsia="ru-RU"/>
      <w14:ligatures w14:val="standard"/>
      <w14:cntxtAlts/>
    </w:rPr>
  </w:style>
  <w:style w:type="paragraph" w:customStyle="1" w:styleId="msoorganizationname">
    <w:name w:val="msoorganizationname"/>
    <w:rsid w:val="00BA628D"/>
    <w:pPr>
      <w:spacing w:after="0" w:line="309" w:lineRule="auto"/>
      <w:jc w:val="right"/>
    </w:pPr>
    <w:rPr>
      <w:rFonts w:ascii="Arial" w:eastAsia="Times New Roman" w:hAnsi="Arial" w:cs="Arial"/>
      <w:b/>
      <w:bCs/>
      <w:caps/>
      <w:color w:val="330066"/>
      <w:spacing w:val="20"/>
      <w:kern w:val="28"/>
      <w:sz w:val="18"/>
      <w:szCs w:val="18"/>
      <w:lang w:eastAsia="ru-RU"/>
      <w14:ligatures w14:val="standard"/>
      <w14:cntxtAlts/>
    </w:rPr>
  </w:style>
  <w:style w:type="paragraph" w:customStyle="1" w:styleId="msotitle3">
    <w:name w:val="msotitle3"/>
    <w:rsid w:val="00BA628D"/>
    <w:pPr>
      <w:spacing w:after="0" w:line="307" w:lineRule="auto"/>
      <w:jc w:val="right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</dc:creator>
  <cp:keywords/>
  <dc:description/>
  <cp:lastModifiedBy>vus</cp:lastModifiedBy>
  <cp:revision>2</cp:revision>
  <dcterms:created xsi:type="dcterms:W3CDTF">2017-10-06T06:05:00Z</dcterms:created>
  <dcterms:modified xsi:type="dcterms:W3CDTF">2017-10-06T06:10:00Z</dcterms:modified>
</cp:coreProperties>
</file>